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B0" w:rsidRDefault="005560B0" w:rsidP="0002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60B0" w:rsidRDefault="005560B0" w:rsidP="0002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0B0" w:rsidRDefault="00662609" w:rsidP="00AD06C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.7pt;height:65.1pt;visibility:visible">
            <v:imagedata r:id="rId8" o:title=""/>
          </v:shape>
        </w:pict>
      </w:r>
    </w:p>
    <w:p w:rsidR="005560B0" w:rsidRDefault="005560B0" w:rsidP="00AD06C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0B0" w:rsidRPr="00BF229D" w:rsidRDefault="005560B0" w:rsidP="00AD06C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F229D">
        <w:rPr>
          <w:rFonts w:ascii="Times New Roman" w:hAnsi="Times New Roman" w:cs="Times New Roman"/>
          <w:sz w:val="28"/>
          <w:szCs w:val="28"/>
          <w:lang w:eastAsia="ru-RU"/>
        </w:rPr>
        <w:t>Республика Карелия город Кемь</w:t>
      </w:r>
    </w:p>
    <w:p w:rsidR="005560B0" w:rsidRPr="00BF229D" w:rsidRDefault="005560B0" w:rsidP="00AD06C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0B0" w:rsidRPr="00E9208E" w:rsidRDefault="005560B0" w:rsidP="00AD06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9208E">
        <w:rPr>
          <w:rFonts w:ascii="Times New Roman" w:hAnsi="Times New Roman" w:cs="Times New Roman"/>
          <w:sz w:val="32"/>
          <w:szCs w:val="32"/>
          <w:lang w:eastAsia="ru-RU"/>
        </w:rPr>
        <w:t xml:space="preserve">КОНТРОЛЬНО-СЧЕТНЫЙ КОМИТЕТ КЕМСКОГО МУНИЦИПАЛЬНОГО РАЙОНА </w:t>
      </w:r>
    </w:p>
    <w:p w:rsidR="005560B0" w:rsidRPr="00E9208E" w:rsidRDefault="005560B0" w:rsidP="00AD06C4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  <w:lang w:eastAsia="ru-RU"/>
        </w:rPr>
      </w:pPr>
    </w:p>
    <w:p w:rsidR="005560B0" w:rsidRPr="00E9208E" w:rsidRDefault="005560B0" w:rsidP="00BF229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1D1B11"/>
          <w:sz w:val="32"/>
          <w:szCs w:val="32"/>
          <w:lang w:eastAsia="ar-SA"/>
        </w:rPr>
      </w:pPr>
      <w:r w:rsidRPr="00E9208E">
        <w:rPr>
          <w:rFonts w:ascii="Times New Roman" w:hAnsi="Times New Roman" w:cs="Times New Roman"/>
          <w:color w:val="1D1B11"/>
          <w:sz w:val="32"/>
          <w:szCs w:val="32"/>
          <w:lang w:eastAsia="ar-SA"/>
        </w:rPr>
        <w:t>ЗАКЛЮЧЕНИЕ</w:t>
      </w:r>
    </w:p>
    <w:p w:rsidR="005560B0" w:rsidRDefault="005560B0" w:rsidP="00BF229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  <w:lang w:eastAsia="ar-SA"/>
        </w:rPr>
      </w:pPr>
    </w:p>
    <w:p w:rsidR="005560B0" w:rsidRPr="00AD06C4" w:rsidRDefault="005560B0" w:rsidP="00BF229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  <w:lang w:eastAsia="ar-SA"/>
        </w:rPr>
      </w:pPr>
      <w:r w:rsidRPr="00AD06C4">
        <w:rPr>
          <w:rFonts w:ascii="Times New Roman" w:hAnsi="Times New Roman" w:cs="Times New Roman"/>
          <w:color w:val="1D1B11"/>
          <w:sz w:val="28"/>
          <w:szCs w:val="28"/>
          <w:lang w:eastAsia="ar-SA"/>
        </w:rPr>
        <w:t>на проект Решения Совета Кривопорожского сельского поселения «О внесении изменений в решение Совета Кривопорожского сельского поселения №4-37-101 от 26.12.2022 «О бюджете Кривопорожского сельского поселения на 2023 год и на плановый период 2024 и 2025 годов»</w:t>
      </w:r>
    </w:p>
    <w:p w:rsidR="005560B0" w:rsidRDefault="005560B0" w:rsidP="00DE57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343528966"/>
    </w:p>
    <w:p w:rsidR="005560B0" w:rsidRDefault="005560B0" w:rsidP="00DE57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60B0" w:rsidRPr="00BF229D" w:rsidRDefault="005560B0" w:rsidP="00BF229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03 ноября</w:t>
      </w:r>
      <w:r w:rsidRPr="00BF229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2023г.</w:t>
      </w:r>
      <w:r w:rsidRPr="00BF229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BF229D">
        <w:rPr>
          <w:rFonts w:ascii="Times New Roman" w:hAnsi="Times New Roman" w:cs="Times New Roman"/>
          <w:sz w:val="24"/>
          <w:szCs w:val="24"/>
          <w:u w:val="single"/>
          <w:lang w:eastAsia="ru-RU"/>
        </w:rPr>
        <w:t>№02-02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/21</w:t>
      </w:r>
      <w:r w:rsidRPr="00BF229D">
        <w:rPr>
          <w:rFonts w:ascii="Times New Roman" w:hAnsi="Times New Roman" w:cs="Times New Roman"/>
          <w:sz w:val="24"/>
          <w:szCs w:val="24"/>
          <w:u w:val="single"/>
          <w:lang w:eastAsia="ru-RU"/>
        </w:rPr>
        <w:t>-и</w:t>
      </w:r>
    </w:p>
    <w:p w:rsidR="005560B0" w:rsidRDefault="005560B0" w:rsidP="00DE57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60B0" w:rsidRDefault="005560B0" w:rsidP="00DE57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560B0" w:rsidRPr="0002465D" w:rsidRDefault="005560B0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Контрольно-счетный комитет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Кемского муниципального района на основании Положения о Контрольно-счетно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комитете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Кемского муниципального района,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Распоряжения Председателя</w:t>
      </w:r>
      <w:r w:rsidRPr="00BF229D">
        <w:t xml:space="preserve"> </w:t>
      </w:r>
      <w:r w:rsidRPr="00BF229D">
        <w:rPr>
          <w:rFonts w:ascii="Times New Roman" w:hAnsi="Times New Roman" w:cs="Times New Roman"/>
          <w:sz w:val="24"/>
          <w:szCs w:val="24"/>
          <w:lang w:eastAsia="ru-RU"/>
        </w:rPr>
        <w:t>Контрольно-счетный комитет Кемского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от 01.11.2023 №12-р «О проведении экспертизы проекта 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Совета Кривопорожского сельского поселения «О внесении изменений в решение Совета Кривопорожского сельского поселения </w:t>
      </w:r>
      <w:r w:rsidRPr="00C50325">
        <w:rPr>
          <w:rFonts w:ascii="Times New Roman" w:hAnsi="Times New Roman" w:cs="Times New Roman"/>
          <w:sz w:val="24"/>
          <w:szCs w:val="24"/>
          <w:lang w:eastAsia="ru-RU"/>
        </w:rPr>
        <w:t>№4-37-101 от 26.12.2022 «О бюджете Кривопорожского сельского поселения на 2023 год и на пла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новый период 2024 и 2025 годов»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провела экспертизу 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по результатам которой составила настоящее Заключение.</w:t>
      </w:r>
    </w:p>
    <w:p w:rsidR="005560B0" w:rsidRPr="0002465D" w:rsidRDefault="005560B0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hAnsi="Times New Roman" w:cs="Times New Roman"/>
          <w:sz w:val="24"/>
          <w:szCs w:val="24"/>
          <w:lang w:eastAsia="ru-RU"/>
        </w:rPr>
        <w:t>В ходе экспертизы применялись нормативно-правовые акты: Бюджетный кодекс Российской Федерации, Положение о бюджетном процессе в Кривопорожском сельском поселении, иные документы, указанные в настоящем Заключении.</w:t>
      </w:r>
    </w:p>
    <w:p w:rsidR="005560B0" w:rsidRPr="0002465D" w:rsidRDefault="005560B0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hAnsi="Times New Roman" w:cs="Times New Roman"/>
          <w:sz w:val="24"/>
          <w:szCs w:val="24"/>
          <w:lang w:eastAsia="ru-RU"/>
        </w:rPr>
        <w:t>Проект 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адрес Контрольно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счетно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комитета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подготовки Заключения поступил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Администрации Кривопорожского сельского поселения 01.11.2023.</w:t>
      </w:r>
    </w:p>
    <w:p w:rsidR="005560B0" w:rsidRPr="0002465D" w:rsidRDefault="005560B0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hAnsi="Times New Roman" w:cs="Times New Roman"/>
          <w:sz w:val="24"/>
          <w:szCs w:val="24"/>
          <w:lang w:eastAsia="ru-RU"/>
        </w:rPr>
        <w:t>При подготовке заключения рассмотрены и проанализированы:</w:t>
      </w:r>
    </w:p>
    <w:p w:rsidR="005560B0" w:rsidRPr="0002465D" w:rsidRDefault="005560B0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hAnsi="Times New Roman" w:cs="Times New Roman"/>
          <w:sz w:val="24"/>
          <w:szCs w:val="24"/>
          <w:lang w:eastAsia="ru-RU"/>
        </w:rPr>
        <w:t>1.Проект Решения Совета Кривопорожского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Проект Решения)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60B0" w:rsidRPr="0002465D" w:rsidRDefault="005560B0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0430B">
        <w:t xml:space="preserve"> </w:t>
      </w:r>
      <w:r w:rsidRPr="00A0430B">
        <w:rPr>
          <w:rFonts w:ascii="Times New Roman" w:hAnsi="Times New Roman" w:cs="Times New Roman"/>
          <w:sz w:val="24"/>
          <w:szCs w:val="24"/>
          <w:lang w:eastAsia="ru-RU"/>
        </w:rPr>
        <w:t xml:space="preserve">Пояснительная записка к проекту решения Совета Кривопорожского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 - п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ояснительная записка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60B0" w:rsidRDefault="005560B0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hAnsi="Times New Roman" w:cs="Times New Roman"/>
          <w:sz w:val="24"/>
          <w:szCs w:val="24"/>
          <w:lang w:eastAsia="ru-RU"/>
        </w:rPr>
        <w:t>3.Оценка ожидаемого исполнения бюджета Кривопорожского сельского поселения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5560B0" w:rsidRDefault="005560B0" w:rsidP="005976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D35678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Представленным проектом Решения предлагается изменение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доходной, </w:t>
      </w:r>
      <w:r w:rsidRPr="00D35678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расходной части бюджета поселения на текущий период, приводящее к изменению основных параметров бюджета поселения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, а также изменения расходной части бюджета поселения не приводящие к изменению параметров бюджета.</w:t>
      </w:r>
    </w:p>
    <w:p w:rsidR="005560B0" w:rsidRDefault="005560B0" w:rsidP="005976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</w:p>
    <w:p w:rsidR="005560B0" w:rsidRPr="00D8255E" w:rsidRDefault="005560B0" w:rsidP="0059768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  <w:lang w:eastAsia="ar-SA"/>
        </w:rPr>
      </w:pPr>
      <w:r w:rsidRPr="00D8255E">
        <w:rPr>
          <w:rFonts w:ascii="Times New Roman" w:hAnsi="Times New Roman" w:cs="Times New Roman"/>
          <w:b/>
          <w:bCs/>
          <w:color w:val="1D1B11"/>
          <w:sz w:val="24"/>
          <w:szCs w:val="24"/>
          <w:lang w:eastAsia="ar-SA"/>
        </w:rPr>
        <w:t>Основные характеристики проекта</w:t>
      </w:r>
    </w:p>
    <w:p w:rsidR="005560B0" w:rsidRDefault="005560B0" w:rsidP="005976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255E">
        <w:rPr>
          <w:rFonts w:ascii="Times New Roman" w:hAnsi="Times New Roman" w:cs="Times New Roman"/>
          <w:b/>
          <w:bCs/>
          <w:color w:val="1D1B11"/>
          <w:sz w:val="24"/>
          <w:szCs w:val="24"/>
          <w:lang w:eastAsia="ar-SA"/>
        </w:rPr>
        <w:lastRenderedPageBreak/>
        <w:t xml:space="preserve">Решения </w:t>
      </w:r>
      <w:r w:rsidRPr="00D82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Кривопорожского сельского поселения </w:t>
      </w:r>
      <w:bookmarkEnd w:id="1"/>
    </w:p>
    <w:p w:rsidR="005560B0" w:rsidRPr="001545ED" w:rsidRDefault="005560B0" w:rsidP="001545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5ED">
        <w:rPr>
          <w:rFonts w:ascii="Times New Roman" w:hAnsi="Times New Roman" w:cs="Times New Roman"/>
          <w:sz w:val="24"/>
          <w:szCs w:val="24"/>
          <w:lang w:eastAsia="ru-RU"/>
        </w:rPr>
        <w:t>Проектом Решения вносятся следующие изменения в основные параметры бюджета поселения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545ED">
        <w:rPr>
          <w:rFonts w:ascii="Times New Roman" w:hAnsi="Times New Roman" w:cs="Times New Roman"/>
          <w:sz w:val="24"/>
          <w:szCs w:val="24"/>
          <w:lang w:eastAsia="ru-RU"/>
        </w:rPr>
        <w:t xml:space="preserve"> г.:</w:t>
      </w:r>
    </w:p>
    <w:p w:rsidR="005560B0" w:rsidRDefault="005560B0" w:rsidP="00731B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1B0D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Тыс. р</w:t>
      </w:r>
      <w:r w:rsidRPr="00731B0D">
        <w:rPr>
          <w:rFonts w:ascii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10080" w:type="dxa"/>
        <w:jc w:val="center"/>
        <w:tblLayout w:type="fixed"/>
        <w:tblLook w:val="00A0" w:firstRow="1" w:lastRow="0" w:firstColumn="1" w:lastColumn="0" w:noHBand="0" w:noVBand="0"/>
      </w:tblPr>
      <w:tblGrid>
        <w:gridCol w:w="1433"/>
        <w:gridCol w:w="1134"/>
        <w:gridCol w:w="1134"/>
        <w:gridCol w:w="1026"/>
        <w:gridCol w:w="1101"/>
        <w:gridCol w:w="1134"/>
        <w:gridCol w:w="1275"/>
        <w:gridCol w:w="851"/>
        <w:gridCol w:w="992"/>
      </w:tblGrid>
      <w:tr w:rsidR="005560B0" w:rsidRPr="00126B00">
        <w:trPr>
          <w:trHeight w:val="7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 Решением  №4-37-101 от 26.12.2022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B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4-38-106 от 02.02.2023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 № 4-40-112от 27.04.2023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B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4-42-116 от 26.06.2023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№4-43-119 от 24.07.2023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№4-44-121 от 05.09.2023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"+", "-"</w:t>
            </w:r>
          </w:p>
        </w:tc>
      </w:tr>
      <w:tr w:rsidR="005560B0" w:rsidRPr="00126B00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10 994,00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13 807,40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21 935,70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22 118,70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183,00</w:t>
            </w:r>
          </w:p>
        </w:tc>
      </w:tr>
      <w:tr w:rsidR="005560B0" w:rsidRPr="00126B00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11 197,00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14 010,40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22 403,00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22 138,70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22 321,70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183,00</w:t>
            </w:r>
          </w:p>
        </w:tc>
      </w:tr>
      <w:tr w:rsidR="005560B0" w:rsidRPr="00126B00">
        <w:trPr>
          <w:trHeight w:val="300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-203,00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D1648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4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560B0" w:rsidRDefault="005560B0" w:rsidP="00521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0B0" w:rsidRPr="00521CBA" w:rsidRDefault="005560B0" w:rsidP="00521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Доходы составят – </w:t>
      </w:r>
      <w:r w:rsidRPr="004B2182">
        <w:rPr>
          <w:rFonts w:ascii="Times New Roman" w:hAnsi="Times New Roman" w:cs="Times New Roman"/>
          <w:sz w:val="24"/>
          <w:szCs w:val="24"/>
          <w:lang w:eastAsia="ru-RU"/>
        </w:rPr>
        <w:t>22 118,70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</w:t>
      </w:r>
      <w:r w:rsidRPr="00521CBA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5560B0" w:rsidRPr="00521CBA" w:rsidRDefault="005560B0" w:rsidP="00521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составят – </w:t>
      </w:r>
      <w:r w:rsidRPr="004B2182">
        <w:rPr>
          <w:rFonts w:ascii="Times New Roman" w:hAnsi="Times New Roman" w:cs="Times New Roman"/>
          <w:sz w:val="24"/>
          <w:szCs w:val="24"/>
          <w:lang w:eastAsia="ru-RU"/>
        </w:rPr>
        <w:t>22 321,70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</w:t>
      </w:r>
      <w:r w:rsidRPr="00AE1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руб. </w:t>
      </w:r>
    </w:p>
    <w:p w:rsidR="005560B0" w:rsidRDefault="005560B0" w:rsidP="00521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hAnsi="Times New Roman" w:cs="Times New Roman"/>
          <w:sz w:val="24"/>
          <w:szCs w:val="24"/>
          <w:lang w:eastAsia="ru-RU"/>
        </w:rPr>
        <w:t>Дефицит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203</w:t>
      </w:r>
      <w:r w:rsidRPr="00AE1865">
        <w:rPr>
          <w:rFonts w:ascii="Times New Roman" w:hAnsi="Times New Roman" w:cs="Times New Roman"/>
          <w:sz w:val="24"/>
          <w:szCs w:val="24"/>
          <w:lang w:eastAsia="ru-RU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тыс. </w:t>
      </w:r>
      <w:r w:rsidRPr="00521CBA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5560B0" w:rsidRDefault="005560B0" w:rsidP="00F007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5ED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Проектом Решения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1545ED">
        <w:rPr>
          <w:rFonts w:ascii="Times New Roman" w:hAnsi="Times New Roman" w:cs="Times New Roman"/>
          <w:sz w:val="24"/>
          <w:szCs w:val="24"/>
          <w:lang w:eastAsia="ru-RU"/>
        </w:rPr>
        <w:t>вносятся изменения в основные параметры бюджета поселения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4-2025</w:t>
      </w:r>
      <w:r w:rsidRPr="001545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гг. </w:t>
      </w:r>
    </w:p>
    <w:p w:rsidR="005560B0" w:rsidRDefault="005560B0" w:rsidP="00F0074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0B0" w:rsidRDefault="005560B0" w:rsidP="009B1C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Доходы</w:t>
      </w:r>
    </w:p>
    <w:p w:rsidR="005560B0" w:rsidRDefault="005560B0" w:rsidP="00154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bookmarkStart w:id="2" w:name="_Hlk91077901"/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Изменение</w:t>
      </w:r>
      <w:r w:rsidRPr="00DE55B9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доходной части бюджета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Кривопорожского сельского</w:t>
      </w:r>
      <w:r w:rsidRPr="00DE55B9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поселения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:</w:t>
      </w:r>
    </w:p>
    <w:p w:rsidR="005560B0" w:rsidRDefault="005560B0" w:rsidP="00D8369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1B0D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Тыс. р</w:t>
      </w:r>
      <w:r w:rsidRPr="00731B0D">
        <w:rPr>
          <w:rFonts w:ascii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937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33"/>
        <w:gridCol w:w="1276"/>
        <w:gridCol w:w="1134"/>
        <w:gridCol w:w="1026"/>
        <w:gridCol w:w="1242"/>
        <w:gridCol w:w="1417"/>
        <w:gridCol w:w="993"/>
        <w:gridCol w:w="851"/>
      </w:tblGrid>
      <w:tr w:rsidR="005560B0" w:rsidRPr="00126B00"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B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 Решением  </w:t>
            </w:r>
          </w:p>
          <w:p w:rsidR="005560B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№4-37-101</w:t>
            </w:r>
          </w:p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26.12.2022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B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 </w:t>
            </w:r>
          </w:p>
          <w:p w:rsidR="005560B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4-40-112</w:t>
            </w:r>
          </w:p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27.04.2023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 № 4-42-116 от 26.06.2023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</w:p>
          <w:p w:rsidR="005560B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№4-43-119 </w:t>
            </w:r>
          </w:p>
          <w:p w:rsidR="005560B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</w:p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24.07.2023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  <w:p w:rsidR="005560B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№4-44-121 </w:t>
            </w:r>
          </w:p>
          <w:p w:rsidR="005560B0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</w:p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05.09.2023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"+", "-"</w:t>
            </w:r>
          </w:p>
        </w:tc>
      </w:tr>
      <w:tr w:rsidR="005560B0" w:rsidRPr="00126B0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1.Доходы налоговые и 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183,00</w:t>
            </w:r>
          </w:p>
        </w:tc>
      </w:tr>
      <w:tr w:rsidR="005560B0" w:rsidRPr="00126B0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-7,00</w:t>
            </w:r>
          </w:p>
        </w:tc>
      </w:tr>
      <w:tr w:rsidR="005560B0" w:rsidRPr="00126B0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5560B0" w:rsidRPr="00126B0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2.Объем безвозмездных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11 927,40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16 419,00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20 004,70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20 004,70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60B0" w:rsidRPr="00126B00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1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доходов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13 807,40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21 935,70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22 118,70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4B2182" w:rsidRDefault="005560B0" w:rsidP="004B218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560B0" w:rsidRDefault="005560B0" w:rsidP="00292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0B0" w:rsidRDefault="005560B0" w:rsidP="004B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</w:t>
      </w:r>
      <w:r w:rsidRPr="00376012">
        <w:rPr>
          <w:rFonts w:ascii="Times New Roman" w:hAnsi="Times New Roman" w:cs="Times New Roman"/>
          <w:sz w:val="24"/>
          <w:szCs w:val="24"/>
          <w:lang w:eastAsia="ru-RU"/>
        </w:rPr>
        <w:t>алоговые и неналоговые доходы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увеличены на 183,00 тыс. руб. Согласно пояснительной записки изменения за счет уменьшения дохода</w:t>
      </w:r>
      <w:r w:rsidRPr="004B2182">
        <w:rPr>
          <w:rFonts w:ascii="Times New Roman" w:hAnsi="Times New Roman" w:cs="Times New Roman"/>
          <w:sz w:val="24"/>
          <w:szCs w:val="24"/>
          <w:lang w:eastAsia="ru-RU"/>
        </w:rPr>
        <w:t xml:space="preserve"> от уплаты акцизов по подакцизным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товарам на 7,0 тыс. руб., увеличения доходов</w:t>
      </w:r>
      <w:r w:rsidRPr="004B2182">
        <w:rPr>
          <w:rFonts w:ascii="Times New Roman" w:hAnsi="Times New Roman" w:cs="Times New Roman"/>
          <w:sz w:val="24"/>
          <w:szCs w:val="24"/>
          <w:lang w:eastAsia="ru-RU"/>
        </w:rPr>
        <w:t xml:space="preserve"> от использования имущества, находящегося в собственности сельских посе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лений на 190,0 тыс. руб. (фактическое поступление налогов).</w:t>
      </w:r>
    </w:p>
    <w:p w:rsidR="005560B0" w:rsidRPr="00F97B8C" w:rsidRDefault="005560B0" w:rsidP="004B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</w:t>
      </w:r>
      <w:r w:rsidRPr="00C57EE8">
        <w:rPr>
          <w:rFonts w:ascii="Times New Roman" w:hAnsi="Times New Roman" w:cs="Times New Roman"/>
          <w:sz w:val="24"/>
          <w:szCs w:val="24"/>
        </w:rPr>
        <w:t xml:space="preserve">езвозмездные поступления  </w:t>
      </w:r>
      <w:r>
        <w:rPr>
          <w:rFonts w:ascii="Times New Roman" w:hAnsi="Times New Roman" w:cs="Times New Roman"/>
          <w:sz w:val="24"/>
          <w:szCs w:val="24"/>
        </w:rPr>
        <w:t xml:space="preserve">изменению не подлежат. </w:t>
      </w:r>
    </w:p>
    <w:p w:rsidR="005560B0" w:rsidRDefault="005560B0" w:rsidP="00154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</w:p>
    <w:bookmarkEnd w:id="2"/>
    <w:p w:rsidR="005560B0" w:rsidRDefault="005560B0" w:rsidP="007D3562">
      <w:pPr>
        <w:suppressAutoHyphens/>
        <w:spacing w:after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Расходы</w:t>
      </w:r>
    </w:p>
    <w:p w:rsidR="005560B0" w:rsidRDefault="005560B0" w:rsidP="006026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B86EBE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Изменения расходной части бюджета поселения характеризуются следующими данными:</w:t>
      </w:r>
    </w:p>
    <w:p w:rsidR="005560B0" w:rsidRDefault="005560B0" w:rsidP="00F04813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(Тыс. руб.)</w:t>
      </w:r>
    </w:p>
    <w:tbl>
      <w:tblPr>
        <w:tblW w:w="965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4"/>
        <w:gridCol w:w="3686"/>
        <w:gridCol w:w="1880"/>
        <w:gridCol w:w="1880"/>
        <w:gridCol w:w="1488"/>
      </w:tblGrid>
      <w:tr w:rsidR="005560B0" w:rsidRPr="00126B00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Раздел, </w:t>
            </w: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подраздел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№4-44-121 от 05.09.2023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B0" w:rsidRPr="006E6C9A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"+", "-"</w:t>
            </w:r>
          </w:p>
        </w:tc>
      </w:tr>
      <w:tr w:rsidR="005560B0" w:rsidRPr="00126B00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01 00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5 509,00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5 422,10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-86,90  </w:t>
            </w:r>
          </w:p>
        </w:tc>
      </w:tr>
      <w:tr w:rsidR="005560B0" w:rsidRPr="00126B0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1 093,90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1 096,20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2,30  </w:t>
            </w:r>
          </w:p>
        </w:tc>
      </w:tr>
      <w:tr w:rsidR="005560B0" w:rsidRPr="00126B00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956,90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966,5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9,60  </w:t>
            </w:r>
          </w:p>
        </w:tc>
      </w:tr>
      <w:tr w:rsidR="005560B0" w:rsidRPr="00126B00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303,80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3,80  </w:t>
            </w:r>
          </w:p>
        </w:tc>
      </w:tr>
      <w:tr w:rsidR="005560B0" w:rsidRPr="00126B0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C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</w:t>
            </w: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3 148,20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3 045,60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-102,60  </w:t>
            </w:r>
          </w:p>
        </w:tc>
      </w:tr>
      <w:tr w:rsidR="005560B0" w:rsidRPr="00126B0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233,80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233,80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233,80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233,80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103,60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103,60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103,60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103,60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4 486,90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4 772,00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285,10  </w:t>
            </w:r>
          </w:p>
        </w:tc>
      </w:tr>
      <w:tr w:rsidR="005560B0" w:rsidRPr="00126B0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4 456,90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285,10  </w:t>
            </w:r>
          </w:p>
        </w:tc>
      </w:tr>
      <w:tr w:rsidR="005560B0" w:rsidRPr="00126B0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7 214,00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7 198,80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-15,20  </w:t>
            </w:r>
          </w:p>
        </w:tc>
      </w:tr>
      <w:tr w:rsidR="005560B0" w:rsidRPr="00126B0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3 900,10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3 850,10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-50,00  </w:t>
            </w:r>
          </w:p>
        </w:tc>
      </w:tr>
      <w:tr w:rsidR="005560B0" w:rsidRPr="00126B0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1 414,90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1 414,90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1 237,20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1 250,20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13,00  </w:t>
            </w:r>
          </w:p>
        </w:tc>
      </w:tr>
      <w:tr w:rsidR="005560B0" w:rsidRPr="00126B0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661,80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683,6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21,80  </w:t>
            </w:r>
          </w:p>
        </w:tc>
      </w:tr>
      <w:tr w:rsidR="005560B0" w:rsidRPr="00126B0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удаление и очистка сточных вод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4 189,00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4 189,00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4 181,00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4 181,00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402,40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402,40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402,40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402,40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МБТ общего характера бюджета бюджетной системы РФ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МБТ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5560B0" w:rsidRPr="00126B00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22 138,70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22 321,70 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183,00  </w:t>
            </w:r>
          </w:p>
        </w:tc>
      </w:tr>
    </w:tbl>
    <w:p w:rsidR="005560B0" w:rsidRDefault="005560B0" w:rsidP="008E2A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lastRenderedPageBreak/>
        <w:t>В разрезе статей расходов бюджета поселения:</w:t>
      </w:r>
    </w:p>
    <w:p w:rsidR="005560B0" w:rsidRDefault="005560B0" w:rsidP="008E2A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По разделу </w:t>
      </w:r>
      <w:r w:rsidRPr="00F97B8C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01 00</w:t>
      </w:r>
      <w:r w:rsidRPr="00F97B8C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«</w:t>
      </w:r>
      <w:r w:rsidRPr="00F97B8C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Общегосударственные вопросы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» предусмотрено уменьшение на </w:t>
      </w:r>
      <w:r w:rsidRPr="00522432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86,90 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тыс. руб., расходы составят </w:t>
      </w:r>
      <w:r w:rsidRPr="00522432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5 422,10 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тыс. руб. </w:t>
      </w:r>
    </w:p>
    <w:p w:rsidR="005560B0" w:rsidRDefault="005560B0" w:rsidP="008E2A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По разделу </w:t>
      </w:r>
      <w:r w:rsidRPr="00F97B8C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04 00</w:t>
      </w:r>
      <w:r w:rsidRPr="00F97B8C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«Национальная экономика» предусмотрено увеличение на </w:t>
      </w:r>
      <w:r w:rsidRPr="00522432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285,10 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тыс. руб., расходы составят </w:t>
      </w:r>
      <w:r w:rsidRPr="00522432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4 772,00 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тыс. руб. </w:t>
      </w:r>
    </w:p>
    <w:p w:rsidR="005560B0" w:rsidRDefault="005560B0" w:rsidP="008E2A3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По разделу 05 00 «</w:t>
      </w:r>
      <w:r w:rsidRPr="00F97B8C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Жилищно-коммунальное хозяйство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» предусмотрено уменьшение на </w:t>
      </w:r>
      <w:r w:rsidRPr="00522432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15,20 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тыс. руб., расходы составят </w:t>
      </w:r>
      <w:r w:rsidRPr="00522432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7 198,80 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тыс. руб.</w:t>
      </w:r>
      <w:r w:rsidRPr="00F97B8C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ab/>
      </w:r>
    </w:p>
    <w:p w:rsidR="005560B0" w:rsidRPr="00B03935" w:rsidRDefault="005560B0" w:rsidP="00B039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Обоснование изменения</w:t>
      </w:r>
      <w:r w:rsidRPr="00B03935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расходной части поселения изложено в пояснительной записке.</w:t>
      </w:r>
    </w:p>
    <w:p w:rsidR="005560B0" w:rsidRDefault="005560B0" w:rsidP="002B19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разрезе муниципальных программ расходы сложились следующим образом:</w:t>
      </w:r>
    </w:p>
    <w:p w:rsidR="005560B0" w:rsidRDefault="005560B0" w:rsidP="008E2A3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(Тыс.руб.)</w:t>
      </w:r>
    </w:p>
    <w:tbl>
      <w:tblPr>
        <w:tblW w:w="1053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27"/>
        <w:gridCol w:w="992"/>
        <w:gridCol w:w="1134"/>
        <w:gridCol w:w="1134"/>
        <w:gridCol w:w="1026"/>
        <w:gridCol w:w="958"/>
        <w:gridCol w:w="993"/>
        <w:gridCol w:w="1119"/>
        <w:gridCol w:w="1055"/>
      </w:tblGrid>
      <w:tr w:rsidR="005560B0" w:rsidRPr="00126B00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B0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 </w:t>
            </w:r>
          </w:p>
          <w:p w:rsidR="005560B0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4-38-106</w:t>
            </w:r>
          </w:p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02.02.2023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B0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 </w:t>
            </w:r>
          </w:p>
          <w:p w:rsidR="005560B0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4-40-112</w:t>
            </w:r>
          </w:p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27.04.2023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B0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 № 4-42-116</w:t>
            </w:r>
          </w:p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26.06.2023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№4-43-119</w:t>
            </w:r>
          </w:p>
          <w:p w:rsidR="005560B0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24.07.2023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№4-44-121</w:t>
            </w:r>
          </w:p>
          <w:p w:rsidR="005560B0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от </w:t>
            </w:r>
          </w:p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05.09.2023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"+", "-"</w:t>
            </w:r>
          </w:p>
        </w:tc>
      </w:tr>
      <w:tr w:rsidR="005560B0" w:rsidRPr="00126B00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культуры, физической культуры и спорта Кемского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2 814,00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2 814,00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4 127,30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4 177,30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4 477,30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4 181,00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4 181,00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560B0" w:rsidRPr="00126B00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градостроительной деятельности в Кемском муниципальном районе"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560B0" w:rsidRPr="00126B00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граждан, профилактика ассоциального поведения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403,00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402,40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402,40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402,40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560B0" w:rsidRPr="00126B00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и повышение качества жилищно-коммунальных услуг на территории Кемского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1 261,70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1 561,80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1 741,80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1 913,60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171,80 </w:t>
            </w:r>
          </w:p>
        </w:tc>
      </w:tr>
      <w:tr w:rsidR="005560B0" w:rsidRPr="00126B00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"Переселение граждан из аварийного жилищного фонда"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370,10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370,10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560B0" w:rsidRPr="00126B00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на территории Кривопорожского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512,20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512,20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312,20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2 337,20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1 237,20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1 250,20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13,00 </w:t>
            </w:r>
          </w:p>
        </w:tc>
      </w:tr>
      <w:tr w:rsidR="005560B0" w:rsidRPr="00126B00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 на территории Кривопорожского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1 806,80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2 563,90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4 636,90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1 849,20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1 849,20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560B0" w:rsidRPr="00126B00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Экономическое развитие и поддержка экономики в Кривопорожском сельском поселении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1 187,20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3 252,50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3 770,90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5 263,00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4 957,50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-305,50 </w:t>
            </w:r>
          </w:p>
        </w:tc>
      </w:tr>
      <w:tr w:rsidR="005560B0" w:rsidRPr="00126B0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программное мероприятие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7 722,20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7 886,40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10 871,90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14 913,50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18 028,70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15 074,70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14 954,00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-120,70 </w:t>
            </w:r>
          </w:p>
        </w:tc>
      </w:tr>
      <w:tr w:rsidR="005560B0" w:rsidRPr="00126B0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статьи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3 271,80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3 310,60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3 138,50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3 639,50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4 374,30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7 064,00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7 367,70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303,70 </w:t>
            </w:r>
          </w:p>
        </w:tc>
      </w:tr>
      <w:tr w:rsidR="005560B0" w:rsidRPr="00126B00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непрограммное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3 271,80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3 310,60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3 138,50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3 639,50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4 374,30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7 064,00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7 367,70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303,70 </w:t>
            </w:r>
          </w:p>
        </w:tc>
      </w:tr>
      <w:tr w:rsidR="005560B0" w:rsidRPr="00126B0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10 994,00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11 197,00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14 010,40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18 553,00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22 403,00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22 138,70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22 321,70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0B0" w:rsidRPr="00522432" w:rsidRDefault="005560B0" w:rsidP="005224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4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183,00 </w:t>
            </w:r>
          </w:p>
        </w:tc>
      </w:tr>
    </w:tbl>
    <w:p w:rsidR="005560B0" w:rsidRDefault="005560B0" w:rsidP="005224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60B0" w:rsidRDefault="005560B0" w:rsidP="008E2A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Программные мероприятия в общем объеме расходов составляют - 14 954,00</w:t>
      </w:r>
      <w:r w:rsidRPr="00F53E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5560B0" w:rsidRDefault="005560B0" w:rsidP="008E2A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Непрограммные мероприятия </w:t>
      </w:r>
      <w:r w:rsidRPr="008E2A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общем объеме расходов составляют 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7 367,70</w:t>
      </w:r>
      <w:r w:rsidRPr="00F53E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A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A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5560B0" w:rsidRDefault="005560B0" w:rsidP="0052243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60B0" w:rsidRDefault="005560B0" w:rsidP="00C24856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Дефицит (профицит) бюджета</w:t>
      </w:r>
    </w:p>
    <w:p w:rsidR="005560B0" w:rsidRDefault="005560B0" w:rsidP="00A72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02465D">
        <w:rPr>
          <w:rFonts w:ascii="Times New Roman" w:hAnsi="Times New Roman" w:cs="Times New Roman"/>
          <w:sz w:val="24"/>
          <w:szCs w:val="24"/>
          <w:lang w:eastAsia="ar-SA"/>
        </w:rPr>
        <w:t>ефицит бюджета в предлагаемом проекте установлен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сумме 203,00</w:t>
      </w:r>
      <w:r w:rsidRPr="00A043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тыс. руб.</w:t>
      </w:r>
      <w:r w:rsidRPr="000246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2465D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дефицита бюджета являются остатки денежных средств на счетах бюджета. </w:t>
      </w:r>
    </w:p>
    <w:p w:rsidR="005560B0" w:rsidRDefault="005560B0" w:rsidP="00A72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0B0" w:rsidRPr="0002465D" w:rsidRDefault="005560B0" w:rsidP="00C2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5560B0" w:rsidRDefault="005560B0" w:rsidP="0041413F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Корректировка бюджета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Кривопорожского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сельского поселения обусловлена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увеличением доходной и расходной части бюджета поселения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, приводящ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ей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к изменению параметров бюджета. </w:t>
      </w:r>
    </w:p>
    <w:p w:rsidR="005560B0" w:rsidRPr="00342E81" w:rsidRDefault="005560B0" w:rsidP="00342E81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1C4446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Доходы составят – </w:t>
      </w:r>
      <w:r w:rsidRPr="006E6C9A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22 118,70 </w:t>
      </w:r>
      <w:r w:rsidRPr="001C4446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тыс. руб.</w:t>
      </w:r>
      <w:r w:rsidRPr="00342E81">
        <w:t xml:space="preserve"> </w:t>
      </w:r>
    </w:p>
    <w:p w:rsidR="005560B0" w:rsidRPr="001C4446" w:rsidRDefault="005560B0" w:rsidP="001C4446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1C4446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Расходы составят – </w:t>
      </w:r>
      <w:r w:rsidRPr="006E6C9A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22 321,70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</w:t>
      </w:r>
      <w:r w:rsidRPr="001C4446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тыс. руб. </w:t>
      </w:r>
    </w:p>
    <w:p w:rsidR="005560B0" w:rsidRDefault="005560B0" w:rsidP="001C4446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1C4446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Дефицит - 203,00 тыс. руб.</w:t>
      </w:r>
    </w:p>
    <w:p w:rsidR="005560B0" w:rsidRDefault="005560B0" w:rsidP="0041413F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Принимая во внимание изложенное, Контрольно-счетн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ый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коми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тет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Кемского муниципального района рекомендует прин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ять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к рассмотрению проект Решения Совета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Кривопорожского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сельского поселения </w:t>
      </w:r>
      <w:r w:rsidRPr="008A0407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«О внесении изменений в решение Совета Кривопорожского сельского поселения №4-37-101 от 26.12.2022 «О бюджете Кривопорожского сельского поселения на 2023 год и на плановый период 2024 и 2025 годов». </w:t>
      </w:r>
    </w:p>
    <w:p w:rsidR="005560B0" w:rsidRPr="0002465D" w:rsidRDefault="005560B0" w:rsidP="00C24856">
      <w:pPr>
        <w:tabs>
          <w:tab w:val="left" w:pos="1055"/>
          <w:tab w:val="left" w:pos="4290"/>
        </w:tabs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Предложения</w:t>
      </w:r>
    </w:p>
    <w:p w:rsidR="005560B0" w:rsidRDefault="005560B0" w:rsidP="00D1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5D">
        <w:rPr>
          <w:rFonts w:ascii="Times New Roman" w:hAnsi="Times New Roman" w:cs="Times New Roman"/>
          <w:sz w:val="24"/>
          <w:szCs w:val="24"/>
          <w:lang w:eastAsia="ar-SA"/>
        </w:rPr>
        <w:t xml:space="preserve">Направить заключение на проект Решения Совета </w:t>
      </w:r>
      <w:r w:rsidRPr="0002465D">
        <w:rPr>
          <w:rFonts w:ascii="Times New Roman" w:hAnsi="Times New Roman" w:cs="Times New Roman"/>
          <w:sz w:val="24"/>
          <w:szCs w:val="24"/>
        </w:rPr>
        <w:t xml:space="preserve">Кривопорожского сельского поселения </w:t>
      </w:r>
      <w:r w:rsidRPr="008A040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Кривопорожского сельского поселения №4-37-101 от 26.12.2022 «О бюджете Кривопорожского сельского поселения на 2023 год и на плановый период 2024 и 2025 годов»</w:t>
      </w:r>
      <w:r>
        <w:rPr>
          <w:rFonts w:ascii="Times New Roman" w:hAnsi="Times New Roman" w:cs="Times New Roman"/>
          <w:sz w:val="24"/>
          <w:szCs w:val="24"/>
        </w:rPr>
        <w:t xml:space="preserve"> в Совет Кривопорожского сельского поселения</w:t>
      </w:r>
      <w:r w:rsidRPr="008A0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0B0" w:rsidRDefault="005560B0" w:rsidP="00D1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0B0" w:rsidRDefault="005560B0" w:rsidP="00D1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eastAsia="ar-SA"/>
        </w:rPr>
      </w:pPr>
    </w:p>
    <w:p w:rsidR="005560B0" w:rsidRPr="0002465D" w:rsidRDefault="005560B0" w:rsidP="00D1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eastAsia="ar-SA"/>
        </w:rPr>
      </w:pPr>
    </w:p>
    <w:p w:rsidR="005560B0" w:rsidRDefault="005560B0" w:rsidP="00AA5117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Председатель</w:t>
      </w:r>
    </w:p>
    <w:p w:rsidR="005560B0" w:rsidRPr="00AA5117" w:rsidRDefault="005560B0" w:rsidP="00AA5117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5117">
        <w:rPr>
          <w:rFonts w:ascii="Times New Roman" w:hAnsi="Times New Roman" w:cs="Times New Roman"/>
          <w:sz w:val="24"/>
          <w:szCs w:val="24"/>
          <w:lang w:eastAsia="ar-SA"/>
        </w:rPr>
        <w:t>Контро</w:t>
      </w:r>
      <w:r>
        <w:rPr>
          <w:rFonts w:ascii="Times New Roman" w:hAnsi="Times New Roman" w:cs="Times New Roman"/>
          <w:sz w:val="24"/>
          <w:szCs w:val="24"/>
          <w:lang w:eastAsia="ar-SA"/>
        </w:rPr>
        <w:t>льно-счетного</w:t>
      </w:r>
      <w:r w:rsidRPr="00AA51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</w:p>
    <w:p w:rsidR="005560B0" w:rsidRDefault="005560B0" w:rsidP="0002465D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5117">
        <w:rPr>
          <w:rFonts w:ascii="Times New Roman" w:hAnsi="Times New Roman" w:cs="Times New Roman"/>
          <w:sz w:val="24"/>
          <w:szCs w:val="24"/>
          <w:lang w:eastAsia="ar-SA"/>
        </w:rPr>
        <w:t>Кемского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Pr="00AA5117">
        <w:rPr>
          <w:rFonts w:ascii="Times New Roman" w:hAnsi="Times New Roman" w:cs="Times New Roman"/>
          <w:sz w:val="24"/>
          <w:szCs w:val="24"/>
          <w:lang w:eastAsia="ar-SA"/>
        </w:rPr>
        <w:t>Ю.И. Зайцева</w:t>
      </w:r>
    </w:p>
    <w:p w:rsidR="005560B0" w:rsidRDefault="005560B0" w:rsidP="0002465D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560B0" w:rsidRPr="0002465D" w:rsidRDefault="005560B0" w:rsidP="0002465D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5560B0" w:rsidRPr="0002465D" w:rsidSect="002B190D">
      <w:footerReference w:type="default" r:id="rId9"/>
      <w:pgSz w:w="11906" w:h="16838"/>
      <w:pgMar w:top="1101" w:right="851" w:bottom="1134" w:left="12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A7" w:rsidRDefault="00010AA7" w:rsidP="00AB30D7">
      <w:pPr>
        <w:spacing w:after="0" w:line="240" w:lineRule="auto"/>
      </w:pPr>
      <w:r>
        <w:separator/>
      </w:r>
    </w:p>
  </w:endnote>
  <w:endnote w:type="continuationSeparator" w:id="0">
    <w:p w:rsidR="00010AA7" w:rsidRDefault="00010AA7" w:rsidP="00AB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B0" w:rsidRDefault="00010AA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62609">
      <w:rPr>
        <w:noProof/>
      </w:rPr>
      <w:t>1</w:t>
    </w:r>
    <w:r>
      <w:rPr>
        <w:noProof/>
      </w:rPr>
      <w:fldChar w:fldCharType="end"/>
    </w:r>
  </w:p>
  <w:p w:rsidR="005560B0" w:rsidRDefault="005560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A7" w:rsidRDefault="00010AA7" w:rsidP="00AB30D7">
      <w:pPr>
        <w:spacing w:after="0" w:line="240" w:lineRule="auto"/>
      </w:pPr>
      <w:r>
        <w:separator/>
      </w:r>
    </w:p>
  </w:footnote>
  <w:footnote w:type="continuationSeparator" w:id="0">
    <w:p w:rsidR="00010AA7" w:rsidRDefault="00010AA7" w:rsidP="00AB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/>
        <w:bCs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493282"/>
    <w:multiLevelType w:val="hybridMultilevel"/>
    <w:tmpl w:val="11CE843E"/>
    <w:lvl w:ilvl="0" w:tplc="FB5448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20CE4962"/>
    <w:multiLevelType w:val="hybridMultilevel"/>
    <w:tmpl w:val="D57A3E98"/>
    <w:lvl w:ilvl="0" w:tplc="A73061B4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7666F"/>
    <w:multiLevelType w:val="hybridMultilevel"/>
    <w:tmpl w:val="16E6C8C4"/>
    <w:lvl w:ilvl="0" w:tplc="6AE8C52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069B2"/>
    <w:multiLevelType w:val="hybridMultilevel"/>
    <w:tmpl w:val="38A69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00B3FD6"/>
    <w:multiLevelType w:val="hybridMultilevel"/>
    <w:tmpl w:val="8610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671A68"/>
    <w:multiLevelType w:val="hybridMultilevel"/>
    <w:tmpl w:val="9BF0BA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3D50544"/>
    <w:multiLevelType w:val="hybridMultilevel"/>
    <w:tmpl w:val="54C0B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5245B0"/>
    <w:multiLevelType w:val="hybridMultilevel"/>
    <w:tmpl w:val="8A742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9DE0667"/>
    <w:multiLevelType w:val="hybridMultilevel"/>
    <w:tmpl w:val="BE5EB32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11">
    <w:nsid w:val="4D9B7768"/>
    <w:multiLevelType w:val="hybridMultilevel"/>
    <w:tmpl w:val="5E624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D100F7"/>
    <w:multiLevelType w:val="hybridMultilevel"/>
    <w:tmpl w:val="53160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D707D3"/>
    <w:multiLevelType w:val="hybridMultilevel"/>
    <w:tmpl w:val="19BA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4522748"/>
    <w:multiLevelType w:val="hybridMultilevel"/>
    <w:tmpl w:val="5970B7BA"/>
    <w:lvl w:ilvl="0" w:tplc="1C428F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8318B4"/>
    <w:multiLevelType w:val="hybridMultilevel"/>
    <w:tmpl w:val="AE9E9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944B9B"/>
    <w:multiLevelType w:val="hybridMultilevel"/>
    <w:tmpl w:val="E2A80442"/>
    <w:lvl w:ilvl="0" w:tplc="870ECE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4F2F11"/>
    <w:multiLevelType w:val="hybridMultilevel"/>
    <w:tmpl w:val="9AFC2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7D1CD9"/>
    <w:multiLevelType w:val="hybridMultilevel"/>
    <w:tmpl w:val="BE30E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9D0608"/>
    <w:multiLevelType w:val="hybridMultilevel"/>
    <w:tmpl w:val="1A30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122FF"/>
    <w:multiLevelType w:val="hybridMultilevel"/>
    <w:tmpl w:val="9E906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C73887"/>
    <w:multiLevelType w:val="hybridMultilevel"/>
    <w:tmpl w:val="B8341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4E664A"/>
    <w:multiLevelType w:val="hybridMultilevel"/>
    <w:tmpl w:val="DF289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F56191"/>
    <w:multiLevelType w:val="hybridMultilevel"/>
    <w:tmpl w:val="B686D4A4"/>
    <w:lvl w:ilvl="0" w:tplc="14EAC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356F4"/>
    <w:multiLevelType w:val="hybridMultilevel"/>
    <w:tmpl w:val="12F47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9"/>
  </w:num>
  <w:num w:numId="12">
    <w:abstractNumId w:val="24"/>
  </w:num>
  <w:num w:numId="13">
    <w:abstractNumId w:val="16"/>
  </w:num>
  <w:num w:numId="14">
    <w:abstractNumId w:val="7"/>
  </w:num>
  <w:num w:numId="15">
    <w:abstractNumId w:val="8"/>
  </w:num>
  <w:num w:numId="16">
    <w:abstractNumId w:val="12"/>
  </w:num>
  <w:num w:numId="17">
    <w:abstractNumId w:val="15"/>
  </w:num>
  <w:num w:numId="18">
    <w:abstractNumId w:val="17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21"/>
  </w:num>
  <w:num w:numId="24">
    <w:abstractNumId w:val="18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F71"/>
    <w:rsid w:val="000006F3"/>
    <w:rsid w:val="00010AA7"/>
    <w:rsid w:val="00022C3C"/>
    <w:rsid w:val="0002465D"/>
    <w:rsid w:val="00035981"/>
    <w:rsid w:val="0003666D"/>
    <w:rsid w:val="00044902"/>
    <w:rsid w:val="00047F6E"/>
    <w:rsid w:val="00062157"/>
    <w:rsid w:val="00064048"/>
    <w:rsid w:val="00090EEC"/>
    <w:rsid w:val="00091F84"/>
    <w:rsid w:val="000C2A08"/>
    <w:rsid w:val="000C3AC1"/>
    <w:rsid w:val="000D13CC"/>
    <w:rsid w:val="000E0EEF"/>
    <w:rsid w:val="000E2D01"/>
    <w:rsid w:val="000E60D1"/>
    <w:rsid w:val="000F41B1"/>
    <w:rsid w:val="0010372D"/>
    <w:rsid w:val="001059D2"/>
    <w:rsid w:val="00113FF9"/>
    <w:rsid w:val="00115B9B"/>
    <w:rsid w:val="001164E5"/>
    <w:rsid w:val="00126B00"/>
    <w:rsid w:val="001272E1"/>
    <w:rsid w:val="00141841"/>
    <w:rsid w:val="00142BD2"/>
    <w:rsid w:val="001440F6"/>
    <w:rsid w:val="001545ED"/>
    <w:rsid w:val="00155DD6"/>
    <w:rsid w:val="0015756D"/>
    <w:rsid w:val="00172A01"/>
    <w:rsid w:val="001751A1"/>
    <w:rsid w:val="00175D1F"/>
    <w:rsid w:val="001841AB"/>
    <w:rsid w:val="00184D22"/>
    <w:rsid w:val="00186BCE"/>
    <w:rsid w:val="00194EE8"/>
    <w:rsid w:val="001A0BBC"/>
    <w:rsid w:val="001A69C4"/>
    <w:rsid w:val="001C4446"/>
    <w:rsid w:val="001D0B57"/>
    <w:rsid w:val="001D5D0D"/>
    <w:rsid w:val="001D68E1"/>
    <w:rsid w:val="001E3EBF"/>
    <w:rsid w:val="001E41B1"/>
    <w:rsid w:val="001E5B65"/>
    <w:rsid w:val="001F2657"/>
    <w:rsid w:val="001F587A"/>
    <w:rsid w:val="00206834"/>
    <w:rsid w:val="00212152"/>
    <w:rsid w:val="00212472"/>
    <w:rsid w:val="00215E65"/>
    <w:rsid w:val="00217D28"/>
    <w:rsid w:val="002200A0"/>
    <w:rsid w:val="002233E2"/>
    <w:rsid w:val="00227BED"/>
    <w:rsid w:val="002404B1"/>
    <w:rsid w:val="00246FC8"/>
    <w:rsid w:val="00251984"/>
    <w:rsid w:val="002540BD"/>
    <w:rsid w:val="002655D4"/>
    <w:rsid w:val="002732B4"/>
    <w:rsid w:val="00274763"/>
    <w:rsid w:val="00283BF2"/>
    <w:rsid w:val="00285A42"/>
    <w:rsid w:val="002875D1"/>
    <w:rsid w:val="002923B9"/>
    <w:rsid w:val="002970D3"/>
    <w:rsid w:val="00297F37"/>
    <w:rsid w:val="002A096A"/>
    <w:rsid w:val="002A36A8"/>
    <w:rsid w:val="002B190D"/>
    <w:rsid w:val="002C264D"/>
    <w:rsid w:val="002E3BA4"/>
    <w:rsid w:val="002F5280"/>
    <w:rsid w:val="002F69F6"/>
    <w:rsid w:val="002F7AB4"/>
    <w:rsid w:val="0030448E"/>
    <w:rsid w:val="003108FE"/>
    <w:rsid w:val="00322750"/>
    <w:rsid w:val="0032319F"/>
    <w:rsid w:val="00333146"/>
    <w:rsid w:val="00342E81"/>
    <w:rsid w:val="003442E7"/>
    <w:rsid w:val="00347628"/>
    <w:rsid w:val="0036542B"/>
    <w:rsid w:val="0037439A"/>
    <w:rsid w:val="00376012"/>
    <w:rsid w:val="003777DC"/>
    <w:rsid w:val="003819EB"/>
    <w:rsid w:val="00391152"/>
    <w:rsid w:val="003918D5"/>
    <w:rsid w:val="0039309C"/>
    <w:rsid w:val="00393C8E"/>
    <w:rsid w:val="0039631A"/>
    <w:rsid w:val="003A302D"/>
    <w:rsid w:val="003B33CB"/>
    <w:rsid w:val="003B55C3"/>
    <w:rsid w:val="003B73A2"/>
    <w:rsid w:val="003C156D"/>
    <w:rsid w:val="003C2215"/>
    <w:rsid w:val="003D042F"/>
    <w:rsid w:val="003F0298"/>
    <w:rsid w:val="003F277F"/>
    <w:rsid w:val="00401607"/>
    <w:rsid w:val="004048D7"/>
    <w:rsid w:val="00410795"/>
    <w:rsid w:val="00413A1E"/>
    <w:rsid w:val="0041413F"/>
    <w:rsid w:val="00414A50"/>
    <w:rsid w:val="00421447"/>
    <w:rsid w:val="004306D6"/>
    <w:rsid w:val="004317AF"/>
    <w:rsid w:val="0043378B"/>
    <w:rsid w:val="00440206"/>
    <w:rsid w:val="0044506F"/>
    <w:rsid w:val="00457DBA"/>
    <w:rsid w:val="00460124"/>
    <w:rsid w:val="004640C3"/>
    <w:rsid w:val="00465B61"/>
    <w:rsid w:val="00476586"/>
    <w:rsid w:val="004878D1"/>
    <w:rsid w:val="004A05C9"/>
    <w:rsid w:val="004A18E1"/>
    <w:rsid w:val="004A5B4A"/>
    <w:rsid w:val="004A6D64"/>
    <w:rsid w:val="004B2182"/>
    <w:rsid w:val="004B291C"/>
    <w:rsid w:val="004B405F"/>
    <w:rsid w:val="004B4C67"/>
    <w:rsid w:val="004B623C"/>
    <w:rsid w:val="004C5C21"/>
    <w:rsid w:val="004D0D68"/>
    <w:rsid w:val="004D2903"/>
    <w:rsid w:val="004D5989"/>
    <w:rsid w:val="004F2A11"/>
    <w:rsid w:val="004F3BF8"/>
    <w:rsid w:val="00506AB5"/>
    <w:rsid w:val="005202F6"/>
    <w:rsid w:val="00521CBA"/>
    <w:rsid w:val="00522432"/>
    <w:rsid w:val="0052319E"/>
    <w:rsid w:val="00525473"/>
    <w:rsid w:val="00530507"/>
    <w:rsid w:val="005316DE"/>
    <w:rsid w:val="00531FA6"/>
    <w:rsid w:val="005356A0"/>
    <w:rsid w:val="0053783B"/>
    <w:rsid w:val="00547C57"/>
    <w:rsid w:val="0055135C"/>
    <w:rsid w:val="005560B0"/>
    <w:rsid w:val="005611A5"/>
    <w:rsid w:val="00561394"/>
    <w:rsid w:val="00561A0A"/>
    <w:rsid w:val="00567526"/>
    <w:rsid w:val="00577A8A"/>
    <w:rsid w:val="00590C34"/>
    <w:rsid w:val="0059768A"/>
    <w:rsid w:val="005A40FC"/>
    <w:rsid w:val="005D7055"/>
    <w:rsid w:val="005E377B"/>
    <w:rsid w:val="005E78AE"/>
    <w:rsid w:val="005E78E0"/>
    <w:rsid w:val="005E7FED"/>
    <w:rsid w:val="005F476A"/>
    <w:rsid w:val="0060051B"/>
    <w:rsid w:val="006026DE"/>
    <w:rsid w:val="00614F2B"/>
    <w:rsid w:val="00617B82"/>
    <w:rsid w:val="006224E3"/>
    <w:rsid w:val="00622D4D"/>
    <w:rsid w:val="00625B84"/>
    <w:rsid w:val="00630206"/>
    <w:rsid w:val="00644997"/>
    <w:rsid w:val="00645700"/>
    <w:rsid w:val="00656928"/>
    <w:rsid w:val="00660A44"/>
    <w:rsid w:val="00661B6C"/>
    <w:rsid w:val="00662609"/>
    <w:rsid w:val="006629C7"/>
    <w:rsid w:val="006714FE"/>
    <w:rsid w:val="0068050E"/>
    <w:rsid w:val="00680C94"/>
    <w:rsid w:val="006874F5"/>
    <w:rsid w:val="00690934"/>
    <w:rsid w:val="00691BCD"/>
    <w:rsid w:val="006977EB"/>
    <w:rsid w:val="006B5C80"/>
    <w:rsid w:val="006B7857"/>
    <w:rsid w:val="006C7FE0"/>
    <w:rsid w:val="006D097A"/>
    <w:rsid w:val="006D4C20"/>
    <w:rsid w:val="006E078B"/>
    <w:rsid w:val="006E1D5D"/>
    <w:rsid w:val="006E1E67"/>
    <w:rsid w:val="006E4E4E"/>
    <w:rsid w:val="006E54BF"/>
    <w:rsid w:val="006E6C9A"/>
    <w:rsid w:val="006F6874"/>
    <w:rsid w:val="00705B5F"/>
    <w:rsid w:val="0071105F"/>
    <w:rsid w:val="00726F3C"/>
    <w:rsid w:val="00731B0D"/>
    <w:rsid w:val="00736005"/>
    <w:rsid w:val="00740CAB"/>
    <w:rsid w:val="0075047B"/>
    <w:rsid w:val="00757EA8"/>
    <w:rsid w:val="007630A7"/>
    <w:rsid w:val="00770095"/>
    <w:rsid w:val="00771E0C"/>
    <w:rsid w:val="00774E00"/>
    <w:rsid w:val="00784456"/>
    <w:rsid w:val="0078629E"/>
    <w:rsid w:val="007A6C0E"/>
    <w:rsid w:val="007B0F72"/>
    <w:rsid w:val="007B6D47"/>
    <w:rsid w:val="007C7308"/>
    <w:rsid w:val="007D0F00"/>
    <w:rsid w:val="007D3562"/>
    <w:rsid w:val="007D4C7E"/>
    <w:rsid w:val="007D62BF"/>
    <w:rsid w:val="007E1FC6"/>
    <w:rsid w:val="007F07D7"/>
    <w:rsid w:val="007F3B86"/>
    <w:rsid w:val="007F4820"/>
    <w:rsid w:val="00804FF9"/>
    <w:rsid w:val="0081531D"/>
    <w:rsid w:val="008165F8"/>
    <w:rsid w:val="00817901"/>
    <w:rsid w:val="00823031"/>
    <w:rsid w:val="00823264"/>
    <w:rsid w:val="00836D98"/>
    <w:rsid w:val="008473EC"/>
    <w:rsid w:val="00850C5C"/>
    <w:rsid w:val="00850E47"/>
    <w:rsid w:val="00855709"/>
    <w:rsid w:val="008658A8"/>
    <w:rsid w:val="00874926"/>
    <w:rsid w:val="00875ED5"/>
    <w:rsid w:val="008932A1"/>
    <w:rsid w:val="008A0407"/>
    <w:rsid w:val="008A115C"/>
    <w:rsid w:val="008A1251"/>
    <w:rsid w:val="008A1585"/>
    <w:rsid w:val="008A5C56"/>
    <w:rsid w:val="008A7674"/>
    <w:rsid w:val="008B0463"/>
    <w:rsid w:val="008B0BDD"/>
    <w:rsid w:val="008C606D"/>
    <w:rsid w:val="008C66F0"/>
    <w:rsid w:val="008D3C5C"/>
    <w:rsid w:val="008E2A34"/>
    <w:rsid w:val="008E58FF"/>
    <w:rsid w:val="008F3834"/>
    <w:rsid w:val="00912AD6"/>
    <w:rsid w:val="00917C51"/>
    <w:rsid w:val="0092246B"/>
    <w:rsid w:val="00941344"/>
    <w:rsid w:val="00943C01"/>
    <w:rsid w:val="00952056"/>
    <w:rsid w:val="0095324A"/>
    <w:rsid w:val="00961A85"/>
    <w:rsid w:val="00964D94"/>
    <w:rsid w:val="00967795"/>
    <w:rsid w:val="0097028E"/>
    <w:rsid w:val="00973EA6"/>
    <w:rsid w:val="00976255"/>
    <w:rsid w:val="00980C4C"/>
    <w:rsid w:val="00987AAF"/>
    <w:rsid w:val="009975D6"/>
    <w:rsid w:val="009B1CBE"/>
    <w:rsid w:val="009C13B4"/>
    <w:rsid w:val="009C1D84"/>
    <w:rsid w:val="009C54E6"/>
    <w:rsid w:val="009C7C00"/>
    <w:rsid w:val="009D407D"/>
    <w:rsid w:val="009D72A8"/>
    <w:rsid w:val="009D74B2"/>
    <w:rsid w:val="009D752E"/>
    <w:rsid w:val="009F03D8"/>
    <w:rsid w:val="009F2556"/>
    <w:rsid w:val="009F5E5A"/>
    <w:rsid w:val="00A0430B"/>
    <w:rsid w:val="00A07490"/>
    <w:rsid w:val="00A12FBF"/>
    <w:rsid w:val="00A15CC6"/>
    <w:rsid w:val="00A20895"/>
    <w:rsid w:val="00A37DCA"/>
    <w:rsid w:val="00A40789"/>
    <w:rsid w:val="00A42827"/>
    <w:rsid w:val="00A42B3B"/>
    <w:rsid w:val="00A456A4"/>
    <w:rsid w:val="00A608EA"/>
    <w:rsid w:val="00A63893"/>
    <w:rsid w:val="00A656C0"/>
    <w:rsid w:val="00A66920"/>
    <w:rsid w:val="00A7272D"/>
    <w:rsid w:val="00A83D34"/>
    <w:rsid w:val="00A9727D"/>
    <w:rsid w:val="00AA13AA"/>
    <w:rsid w:val="00AA5117"/>
    <w:rsid w:val="00AA5488"/>
    <w:rsid w:val="00AA6F75"/>
    <w:rsid w:val="00AA78A4"/>
    <w:rsid w:val="00AB1434"/>
    <w:rsid w:val="00AB1F2F"/>
    <w:rsid w:val="00AB30D7"/>
    <w:rsid w:val="00AB4553"/>
    <w:rsid w:val="00AD06C4"/>
    <w:rsid w:val="00AD410A"/>
    <w:rsid w:val="00AD4EFB"/>
    <w:rsid w:val="00AE1865"/>
    <w:rsid w:val="00AF52A7"/>
    <w:rsid w:val="00AF565C"/>
    <w:rsid w:val="00B015E2"/>
    <w:rsid w:val="00B01BE1"/>
    <w:rsid w:val="00B03935"/>
    <w:rsid w:val="00B05F19"/>
    <w:rsid w:val="00B05FF9"/>
    <w:rsid w:val="00B16E7F"/>
    <w:rsid w:val="00B33904"/>
    <w:rsid w:val="00B36325"/>
    <w:rsid w:val="00B43D15"/>
    <w:rsid w:val="00B45970"/>
    <w:rsid w:val="00B47009"/>
    <w:rsid w:val="00B56DAE"/>
    <w:rsid w:val="00B57F93"/>
    <w:rsid w:val="00B72723"/>
    <w:rsid w:val="00B76866"/>
    <w:rsid w:val="00B80D30"/>
    <w:rsid w:val="00B86EBE"/>
    <w:rsid w:val="00B90026"/>
    <w:rsid w:val="00BB32F9"/>
    <w:rsid w:val="00BC1E05"/>
    <w:rsid w:val="00BC227F"/>
    <w:rsid w:val="00BC709F"/>
    <w:rsid w:val="00BD0B76"/>
    <w:rsid w:val="00BD4461"/>
    <w:rsid w:val="00BE63BD"/>
    <w:rsid w:val="00BF0EFA"/>
    <w:rsid w:val="00BF229D"/>
    <w:rsid w:val="00C014C2"/>
    <w:rsid w:val="00C02A6C"/>
    <w:rsid w:val="00C1166E"/>
    <w:rsid w:val="00C14306"/>
    <w:rsid w:val="00C20BD9"/>
    <w:rsid w:val="00C21C31"/>
    <w:rsid w:val="00C23F93"/>
    <w:rsid w:val="00C24856"/>
    <w:rsid w:val="00C3068E"/>
    <w:rsid w:val="00C32DF1"/>
    <w:rsid w:val="00C370A7"/>
    <w:rsid w:val="00C43985"/>
    <w:rsid w:val="00C50325"/>
    <w:rsid w:val="00C574CF"/>
    <w:rsid w:val="00C57EE8"/>
    <w:rsid w:val="00C63606"/>
    <w:rsid w:val="00C7055C"/>
    <w:rsid w:val="00C7246F"/>
    <w:rsid w:val="00C801AE"/>
    <w:rsid w:val="00C81825"/>
    <w:rsid w:val="00C854D1"/>
    <w:rsid w:val="00C93D19"/>
    <w:rsid w:val="00C9413A"/>
    <w:rsid w:val="00C94FA3"/>
    <w:rsid w:val="00C97C2E"/>
    <w:rsid w:val="00CA2987"/>
    <w:rsid w:val="00CB0B29"/>
    <w:rsid w:val="00CC11C7"/>
    <w:rsid w:val="00CC58C7"/>
    <w:rsid w:val="00CD2A4C"/>
    <w:rsid w:val="00CD63BA"/>
    <w:rsid w:val="00CE50C2"/>
    <w:rsid w:val="00CE5DEA"/>
    <w:rsid w:val="00CF010B"/>
    <w:rsid w:val="00CF0595"/>
    <w:rsid w:val="00CF2744"/>
    <w:rsid w:val="00CF5D9E"/>
    <w:rsid w:val="00D003AA"/>
    <w:rsid w:val="00D04692"/>
    <w:rsid w:val="00D04DE1"/>
    <w:rsid w:val="00D11432"/>
    <w:rsid w:val="00D13C0F"/>
    <w:rsid w:val="00D150E9"/>
    <w:rsid w:val="00D16480"/>
    <w:rsid w:val="00D35678"/>
    <w:rsid w:val="00D356B8"/>
    <w:rsid w:val="00D43424"/>
    <w:rsid w:val="00D5127F"/>
    <w:rsid w:val="00D516A4"/>
    <w:rsid w:val="00D51B44"/>
    <w:rsid w:val="00D56F9D"/>
    <w:rsid w:val="00D64861"/>
    <w:rsid w:val="00D65289"/>
    <w:rsid w:val="00D668E1"/>
    <w:rsid w:val="00D67D0B"/>
    <w:rsid w:val="00D76AFC"/>
    <w:rsid w:val="00D8088C"/>
    <w:rsid w:val="00D8255E"/>
    <w:rsid w:val="00D83698"/>
    <w:rsid w:val="00D93C16"/>
    <w:rsid w:val="00DB1425"/>
    <w:rsid w:val="00DC3291"/>
    <w:rsid w:val="00DC3979"/>
    <w:rsid w:val="00DE4100"/>
    <w:rsid w:val="00DE55B9"/>
    <w:rsid w:val="00DE5673"/>
    <w:rsid w:val="00DE57BB"/>
    <w:rsid w:val="00DE7C14"/>
    <w:rsid w:val="00E12C37"/>
    <w:rsid w:val="00E15379"/>
    <w:rsid w:val="00E41EF3"/>
    <w:rsid w:val="00E60C1C"/>
    <w:rsid w:val="00E6378F"/>
    <w:rsid w:val="00E7284A"/>
    <w:rsid w:val="00E774FD"/>
    <w:rsid w:val="00E77F27"/>
    <w:rsid w:val="00E830EA"/>
    <w:rsid w:val="00E9208E"/>
    <w:rsid w:val="00E9337F"/>
    <w:rsid w:val="00EA38DF"/>
    <w:rsid w:val="00EA493C"/>
    <w:rsid w:val="00EB2195"/>
    <w:rsid w:val="00EB3E84"/>
    <w:rsid w:val="00ED675A"/>
    <w:rsid w:val="00EE098B"/>
    <w:rsid w:val="00EE590A"/>
    <w:rsid w:val="00EE6744"/>
    <w:rsid w:val="00EF68B2"/>
    <w:rsid w:val="00F00746"/>
    <w:rsid w:val="00F00EA3"/>
    <w:rsid w:val="00F04813"/>
    <w:rsid w:val="00F13BC6"/>
    <w:rsid w:val="00F16913"/>
    <w:rsid w:val="00F21EA0"/>
    <w:rsid w:val="00F23692"/>
    <w:rsid w:val="00F24C8E"/>
    <w:rsid w:val="00F25BB6"/>
    <w:rsid w:val="00F43F6A"/>
    <w:rsid w:val="00F51791"/>
    <w:rsid w:val="00F53E38"/>
    <w:rsid w:val="00F61440"/>
    <w:rsid w:val="00F77F71"/>
    <w:rsid w:val="00F85523"/>
    <w:rsid w:val="00F86C80"/>
    <w:rsid w:val="00F94CA6"/>
    <w:rsid w:val="00F95AC5"/>
    <w:rsid w:val="00F9795C"/>
    <w:rsid w:val="00F97978"/>
    <w:rsid w:val="00F97B8C"/>
    <w:rsid w:val="00FC1577"/>
    <w:rsid w:val="00FC552B"/>
    <w:rsid w:val="00FC7EEB"/>
    <w:rsid w:val="00FD073F"/>
    <w:rsid w:val="00FE28E6"/>
    <w:rsid w:val="00FE36B5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D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1C3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1C31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1059D2"/>
    <w:pPr>
      <w:ind w:left="720"/>
    </w:pPr>
  </w:style>
  <w:style w:type="paragraph" w:styleId="a4">
    <w:name w:val="No Spacing"/>
    <w:uiPriority w:val="99"/>
    <w:qFormat/>
    <w:rsid w:val="00F16913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B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B30D7"/>
  </w:style>
  <w:style w:type="paragraph" w:styleId="a7">
    <w:name w:val="footer"/>
    <w:basedOn w:val="a"/>
    <w:link w:val="a8"/>
    <w:uiPriority w:val="99"/>
    <w:rsid w:val="00AB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B30D7"/>
  </w:style>
  <w:style w:type="paragraph" w:styleId="a9">
    <w:name w:val="Balloon Text"/>
    <w:basedOn w:val="a"/>
    <w:link w:val="aa"/>
    <w:uiPriority w:val="99"/>
    <w:semiHidden/>
    <w:rsid w:val="00F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94CA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2970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70D3"/>
  </w:style>
  <w:style w:type="paragraph" w:customStyle="1" w:styleId="Default">
    <w:name w:val="Default"/>
    <w:uiPriority w:val="99"/>
    <w:rsid w:val="00175D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5394</TotalTime>
  <Pages>5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Admin</cp:lastModifiedBy>
  <cp:revision>137</cp:revision>
  <cp:lastPrinted>2023-09-05T14:08:00Z</cp:lastPrinted>
  <dcterms:created xsi:type="dcterms:W3CDTF">2018-03-13T07:16:00Z</dcterms:created>
  <dcterms:modified xsi:type="dcterms:W3CDTF">2023-12-22T12:24:00Z</dcterms:modified>
</cp:coreProperties>
</file>